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55511" w14:textId="77777777" w:rsidR="007D14CA" w:rsidRDefault="005248A7">
      <w:pPr>
        <w:pStyle w:val="Nagwek1"/>
        <w:spacing w:before="400" w:after="120" w:line="276" w:lineRule="auto"/>
        <w:jc w:val="right"/>
        <w:rPr>
          <w:rFonts w:ascii="Arial" w:eastAsia="Arial" w:hAnsi="Arial" w:cs="Arial"/>
          <w:color w:val="222222"/>
          <w:sz w:val="22"/>
          <w:szCs w:val="22"/>
        </w:rPr>
      </w:pPr>
      <w:r>
        <w:rPr>
          <w:rFonts w:ascii="Arial" w:eastAsia="Arial" w:hAnsi="Arial" w:cs="Arial"/>
          <w:color w:val="222222"/>
          <w:sz w:val="22"/>
          <w:szCs w:val="22"/>
        </w:rPr>
        <w:t>Poznań, 06.07.2020</w:t>
      </w:r>
    </w:p>
    <w:p w14:paraId="1F655512" w14:textId="77777777" w:rsidR="007D14CA" w:rsidRDefault="005248A7">
      <w:pPr>
        <w:pStyle w:val="Nagwek1"/>
        <w:spacing w:before="400" w:after="120" w:line="276" w:lineRule="auto"/>
        <w:rPr>
          <w:rFonts w:ascii="Arial" w:eastAsia="Arial" w:hAnsi="Arial" w:cs="Arial"/>
          <w:color w:val="000000"/>
          <w:sz w:val="28"/>
          <w:szCs w:val="28"/>
        </w:rPr>
      </w:pPr>
      <w:r>
        <w:rPr>
          <w:rFonts w:ascii="Arial" w:eastAsia="Arial" w:hAnsi="Arial" w:cs="Arial"/>
          <w:color w:val="000000"/>
          <w:sz w:val="28"/>
          <w:szCs w:val="28"/>
        </w:rPr>
        <w:t>Informacja prasowa</w:t>
      </w:r>
    </w:p>
    <w:p w14:paraId="1F655513" w14:textId="77777777" w:rsidR="007D14CA" w:rsidRDefault="007D14CA"/>
    <w:p w14:paraId="1F655514" w14:textId="77777777" w:rsidR="007D14CA" w:rsidRDefault="005248A7">
      <w:pPr>
        <w:jc w:val="center"/>
        <w:rPr>
          <w:b/>
          <w:color w:val="222222"/>
          <w:sz w:val="32"/>
          <w:szCs w:val="32"/>
          <w:highlight w:val="white"/>
        </w:rPr>
      </w:pPr>
      <w:r>
        <w:rPr>
          <w:b/>
          <w:color w:val="222222"/>
          <w:sz w:val="32"/>
          <w:szCs w:val="32"/>
          <w:highlight w:val="white"/>
        </w:rPr>
        <w:t>Ranking Dzielnic Otodom 2020</w:t>
      </w:r>
      <w:r>
        <w:rPr>
          <w:b/>
          <w:color w:val="222222"/>
          <w:sz w:val="32"/>
          <w:szCs w:val="32"/>
          <w:highlight w:val="white"/>
        </w:rPr>
        <w:br/>
        <w:t>– KOMUNIKACJA</w:t>
      </w:r>
    </w:p>
    <w:p w14:paraId="1F655515" w14:textId="77777777" w:rsidR="007D14CA" w:rsidRDefault="005248A7">
      <w:pPr>
        <w:spacing w:line="240" w:lineRule="auto"/>
        <w:jc w:val="center"/>
        <w:rPr>
          <w:b/>
          <w:color w:val="222222"/>
          <w:sz w:val="32"/>
          <w:szCs w:val="32"/>
        </w:rPr>
      </w:pPr>
      <w:bookmarkStart w:id="0" w:name="_heading=h.gjdgxs" w:colFirst="0" w:colLast="0"/>
      <w:bookmarkEnd w:id="0"/>
      <w:r>
        <w:rPr>
          <w:b/>
          <w:color w:val="222222"/>
          <w:sz w:val="32"/>
          <w:szCs w:val="32"/>
        </w:rPr>
        <w:t xml:space="preserve">Białystok liderem, </w:t>
      </w:r>
      <w:r>
        <w:rPr>
          <w:b/>
          <w:color w:val="222222"/>
          <w:sz w:val="32"/>
          <w:szCs w:val="32"/>
        </w:rPr>
        <w:br/>
        <w:t>choć mieszkańcom dokucza brak miejsc parkingowych</w:t>
      </w:r>
    </w:p>
    <w:p w14:paraId="1F655516" w14:textId="77777777" w:rsidR="007D14CA" w:rsidRDefault="007D14CA">
      <w:pPr>
        <w:spacing w:line="276" w:lineRule="auto"/>
        <w:jc w:val="both"/>
        <w:rPr>
          <w:b/>
          <w:color w:val="222222"/>
          <w:highlight w:val="white"/>
        </w:rPr>
      </w:pPr>
    </w:p>
    <w:p w14:paraId="1F655517" w14:textId="77777777" w:rsidR="007D14CA" w:rsidRDefault="005248A7">
      <w:pPr>
        <w:spacing w:line="276" w:lineRule="auto"/>
        <w:jc w:val="both"/>
        <w:rPr>
          <w:b/>
          <w:color w:val="222222"/>
          <w:highlight w:val="white"/>
        </w:rPr>
      </w:pPr>
      <w:r>
        <w:rPr>
          <w:b/>
        </w:rPr>
        <w:t xml:space="preserve">Niezależnie czy wybieramy komunikację miejską, rower czy samochód - szybki i łatwy dojazd do pracy, szkoły czy na zakupy jest niewątpliwym atutem każdej lokalizacji. </w:t>
      </w:r>
      <w:r>
        <w:rPr>
          <w:b/>
        </w:rPr>
        <w:br/>
      </w:r>
      <w:r>
        <w:rPr>
          <w:b/>
          <w:color w:val="222222"/>
          <w:highlight w:val="white"/>
        </w:rPr>
        <w:t>W ramach Rankingu Dzielnic Otodom zadaliśmy mieszkańcom 12 największych miast w Polsce py</w:t>
      </w:r>
      <w:r>
        <w:rPr>
          <w:b/>
          <w:color w:val="222222"/>
          <w:highlight w:val="white"/>
        </w:rPr>
        <w:t>tania dotyczące komunikacji, korków i dostępności miejsc parkingowych. W tej kategorii było aż pięć pytań: o łatwy dojazd w różne miejsca, sprawną komunikację miejską, korki, dostępność alternatywnych form transportu jak rower miejski czy hulajnoga oraz mi</w:t>
      </w:r>
      <w:r>
        <w:rPr>
          <w:b/>
          <w:color w:val="222222"/>
          <w:highlight w:val="white"/>
        </w:rPr>
        <w:t>ejsca parkingowe, w tym parking dla odwiedzających nas gości. Zobaczmy zatem jak poszczególne miasta i ich dzielnice wypadły w tej kategorii.</w:t>
      </w:r>
    </w:p>
    <w:p w14:paraId="1F655518" w14:textId="10FAFB60" w:rsidR="007D14CA" w:rsidRDefault="005248A7">
      <w:pPr>
        <w:spacing w:line="240" w:lineRule="auto"/>
        <w:jc w:val="both"/>
        <w:rPr>
          <w:color w:val="222222"/>
          <w:highlight w:val="white"/>
        </w:rPr>
      </w:pPr>
      <w:r>
        <w:rPr>
          <w:color w:val="222222"/>
          <w:highlight w:val="white"/>
        </w:rPr>
        <w:t>Poranne korki, zwiedzanie osiedla w poszukiwaniu jakiegokolwiek miejsca parkingowego czy zastanawianie się na przy</w:t>
      </w:r>
      <w:r>
        <w:rPr>
          <w:color w:val="222222"/>
          <w:highlight w:val="white"/>
        </w:rPr>
        <w:t xml:space="preserve">stanku, czy autobus zamierza w ogóle podjechać – to dylematy każdego z nas. Dlatego przed zakupem domu czy mieszkania warto sprawdzić, jak jeździ się po najbliższej okolicy – zarówno autem, rowerem, autobusem, jak i transportem alternatywnym. </w:t>
      </w:r>
    </w:p>
    <w:p w14:paraId="61C3BAA3" w14:textId="3A161D7C" w:rsidR="00692E07" w:rsidRDefault="00692E07" w:rsidP="00692E07">
      <w:pPr>
        <w:spacing w:line="240" w:lineRule="auto"/>
        <w:jc w:val="both"/>
        <w:rPr>
          <w:b/>
          <w:color w:val="222222"/>
          <w:sz w:val="28"/>
          <w:szCs w:val="28"/>
          <w:highlight w:val="white"/>
        </w:rPr>
      </w:pPr>
      <w:r>
        <w:rPr>
          <w:b/>
          <w:color w:val="222222"/>
          <w:sz w:val="28"/>
          <w:szCs w:val="28"/>
          <w:highlight w:val="white"/>
        </w:rPr>
        <w:t xml:space="preserve">Białystok </w:t>
      </w:r>
      <w:r w:rsidR="000A10EE">
        <w:rPr>
          <w:b/>
          <w:color w:val="222222"/>
          <w:sz w:val="28"/>
          <w:szCs w:val="28"/>
          <w:highlight w:val="white"/>
        </w:rPr>
        <w:t xml:space="preserve">zwycięzcą </w:t>
      </w:r>
      <w:r>
        <w:rPr>
          <w:b/>
          <w:color w:val="222222"/>
          <w:sz w:val="28"/>
          <w:szCs w:val="28"/>
          <w:highlight w:val="white"/>
        </w:rPr>
        <w:t>kategorii komunikacja</w:t>
      </w:r>
    </w:p>
    <w:p w14:paraId="0BE5DFF2" w14:textId="58D9D416" w:rsidR="00692E07" w:rsidRDefault="00692E07" w:rsidP="00692E07">
      <w:pPr>
        <w:spacing w:line="240" w:lineRule="auto"/>
        <w:jc w:val="both"/>
        <w:rPr>
          <w:color w:val="222222"/>
        </w:rPr>
      </w:pPr>
      <w:r>
        <w:rPr>
          <w:color w:val="222222"/>
          <w:highlight w:val="white"/>
        </w:rPr>
        <w:t xml:space="preserve">Na tle pozostałych spośród 12 miast, dla których Otodom przygotował Ranking Dzielnic 2020, Białystok wypada… najlepiej! Średnia ocena w mieście to 3,75 i jest wyższa niż w drugiej Gdyni (3,69) i trzecim Lublinie (3,66). Najmniej zadowoleni z komunikacji w swoich miastach są mieszkańcy Krakowa i Łodzi. W obu miastach ocena w tej kategorii to zaledwie 3,32. </w:t>
      </w:r>
    </w:p>
    <w:p w14:paraId="0CCD0FF9" w14:textId="77777777" w:rsidR="00692E07" w:rsidRDefault="00692E07" w:rsidP="00692E07">
      <w:pPr>
        <w:spacing w:line="240" w:lineRule="auto"/>
        <w:jc w:val="both"/>
      </w:pPr>
      <w:r>
        <w:t>Szczegółowe wyniki wyglądają następująco:</w:t>
      </w:r>
    </w:p>
    <w:tbl>
      <w:tblPr>
        <w:tblStyle w:val="a"/>
        <w:tblW w:w="4940" w:type="dxa"/>
        <w:tblInd w:w="0" w:type="dxa"/>
        <w:tblLayout w:type="fixed"/>
        <w:tblLook w:val="0400" w:firstRow="0" w:lastRow="0" w:firstColumn="0" w:lastColumn="0" w:noHBand="0" w:noVBand="1"/>
      </w:tblPr>
      <w:tblGrid>
        <w:gridCol w:w="567"/>
        <w:gridCol w:w="1985"/>
        <w:gridCol w:w="2388"/>
      </w:tblGrid>
      <w:tr w:rsidR="00692E07" w14:paraId="5FDD409C" w14:textId="77777777" w:rsidTr="00D15132">
        <w:trPr>
          <w:trHeight w:val="290"/>
        </w:trPr>
        <w:tc>
          <w:tcPr>
            <w:tcW w:w="567" w:type="dxa"/>
            <w:tcBorders>
              <w:top w:val="nil"/>
              <w:left w:val="nil"/>
              <w:bottom w:val="nil"/>
              <w:right w:val="nil"/>
            </w:tcBorders>
            <w:shd w:val="clear" w:color="auto" w:fill="auto"/>
            <w:vAlign w:val="bottom"/>
          </w:tcPr>
          <w:p w14:paraId="31EA7AC1" w14:textId="77777777" w:rsidR="00692E07" w:rsidRDefault="00692E07" w:rsidP="00D15132">
            <w:pPr>
              <w:spacing w:after="0" w:line="240" w:lineRule="auto"/>
              <w:jc w:val="both"/>
            </w:pPr>
            <w:r>
              <w:t>1</w:t>
            </w:r>
          </w:p>
        </w:tc>
        <w:tc>
          <w:tcPr>
            <w:tcW w:w="1985" w:type="dxa"/>
            <w:tcBorders>
              <w:top w:val="nil"/>
              <w:left w:val="nil"/>
              <w:bottom w:val="nil"/>
              <w:right w:val="nil"/>
            </w:tcBorders>
            <w:shd w:val="clear" w:color="auto" w:fill="auto"/>
            <w:vAlign w:val="bottom"/>
          </w:tcPr>
          <w:p w14:paraId="0B7419E7" w14:textId="77777777" w:rsidR="00692E07" w:rsidRDefault="00692E07" w:rsidP="00D15132">
            <w:pPr>
              <w:spacing w:after="0" w:line="240" w:lineRule="auto"/>
              <w:jc w:val="both"/>
            </w:pPr>
            <w:r>
              <w:t>Białystok</w:t>
            </w:r>
          </w:p>
        </w:tc>
        <w:tc>
          <w:tcPr>
            <w:tcW w:w="2388" w:type="dxa"/>
            <w:tcBorders>
              <w:top w:val="nil"/>
              <w:left w:val="nil"/>
              <w:bottom w:val="nil"/>
              <w:right w:val="nil"/>
            </w:tcBorders>
            <w:shd w:val="clear" w:color="auto" w:fill="auto"/>
            <w:vAlign w:val="bottom"/>
          </w:tcPr>
          <w:p w14:paraId="001279F4" w14:textId="77777777" w:rsidR="00692E07" w:rsidRDefault="00692E07" w:rsidP="00D15132">
            <w:pPr>
              <w:spacing w:after="0" w:line="240" w:lineRule="auto"/>
              <w:jc w:val="both"/>
            </w:pPr>
            <w:r>
              <w:t>3,75</w:t>
            </w:r>
          </w:p>
        </w:tc>
      </w:tr>
      <w:tr w:rsidR="00692E07" w14:paraId="658E6B30" w14:textId="77777777" w:rsidTr="00D15132">
        <w:trPr>
          <w:trHeight w:val="290"/>
        </w:trPr>
        <w:tc>
          <w:tcPr>
            <w:tcW w:w="567" w:type="dxa"/>
            <w:tcBorders>
              <w:top w:val="nil"/>
              <w:left w:val="nil"/>
              <w:bottom w:val="nil"/>
              <w:right w:val="nil"/>
            </w:tcBorders>
            <w:shd w:val="clear" w:color="auto" w:fill="auto"/>
            <w:vAlign w:val="bottom"/>
          </w:tcPr>
          <w:p w14:paraId="460478A4" w14:textId="77777777" w:rsidR="00692E07" w:rsidRDefault="00692E07" w:rsidP="00D15132">
            <w:pPr>
              <w:spacing w:after="0" w:line="240" w:lineRule="auto"/>
              <w:jc w:val="both"/>
            </w:pPr>
            <w:r>
              <w:t>2</w:t>
            </w:r>
          </w:p>
        </w:tc>
        <w:tc>
          <w:tcPr>
            <w:tcW w:w="1985" w:type="dxa"/>
            <w:tcBorders>
              <w:top w:val="nil"/>
              <w:left w:val="nil"/>
              <w:bottom w:val="nil"/>
              <w:right w:val="nil"/>
            </w:tcBorders>
            <w:shd w:val="clear" w:color="auto" w:fill="auto"/>
            <w:vAlign w:val="bottom"/>
          </w:tcPr>
          <w:p w14:paraId="3494F622" w14:textId="77777777" w:rsidR="00692E07" w:rsidRDefault="00692E07" w:rsidP="00D15132">
            <w:pPr>
              <w:spacing w:after="0" w:line="240" w:lineRule="auto"/>
              <w:jc w:val="both"/>
            </w:pPr>
            <w:r>
              <w:t>Gdynia</w:t>
            </w:r>
          </w:p>
        </w:tc>
        <w:tc>
          <w:tcPr>
            <w:tcW w:w="2388" w:type="dxa"/>
            <w:tcBorders>
              <w:top w:val="nil"/>
              <w:left w:val="nil"/>
              <w:bottom w:val="nil"/>
              <w:right w:val="nil"/>
            </w:tcBorders>
            <w:shd w:val="clear" w:color="auto" w:fill="auto"/>
            <w:vAlign w:val="bottom"/>
          </w:tcPr>
          <w:p w14:paraId="51B345ED" w14:textId="77777777" w:rsidR="00692E07" w:rsidRDefault="00692E07" w:rsidP="00D15132">
            <w:pPr>
              <w:spacing w:after="0" w:line="240" w:lineRule="auto"/>
              <w:jc w:val="both"/>
            </w:pPr>
            <w:r>
              <w:t>3,69</w:t>
            </w:r>
          </w:p>
        </w:tc>
      </w:tr>
      <w:tr w:rsidR="00692E07" w14:paraId="62D5602F" w14:textId="77777777" w:rsidTr="00D15132">
        <w:trPr>
          <w:trHeight w:val="290"/>
        </w:trPr>
        <w:tc>
          <w:tcPr>
            <w:tcW w:w="567" w:type="dxa"/>
            <w:tcBorders>
              <w:top w:val="nil"/>
              <w:left w:val="nil"/>
              <w:bottom w:val="nil"/>
              <w:right w:val="nil"/>
            </w:tcBorders>
            <w:shd w:val="clear" w:color="auto" w:fill="auto"/>
            <w:vAlign w:val="bottom"/>
          </w:tcPr>
          <w:p w14:paraId="23B30554" w14:textId="77777777" w:rsidR="00692E07" w:rsidRDefault="00692E07" w:rsidP="00D15132">
            <w:pPr>
              <w:spacing w:after="0" w:line="240" w:lineRule="auto"/>
              <w:jc w:val="both"/>
            </w:pPr>
            <w:r>
              <w:t>3</w:t>
            </w:r>
          </w:p>
        </w:tc>
        <w:tc>
          <w:tcPr>
            <w:tcW w:w="1985" w:type="dxa"/>
            <w:tcBorders>
              <w:top w:val="nil"/>
              <w:left w:val="nil"/>
              <w:bottom w:val="nil"/>
              <w:right w:val="nil"/>
            </w:tcBorders>
            <w:shd w:val="clear" w:color="auto" w:fill="auto"/>
            <w:vAlign w:val="bottom"/>
          </w:tcPr>
          <w:p w14:paraId="25E028C8" w14:textId="77777777" w:rsidR="00692E07" w:rsidRDefault="00692E07" w:rsidP="00D15132">
            <w:pPr>
              <w:spacing w:after="0" w:line="240" w:lineRule="auto"/>
              <w:jc w:val="both"/>
            </w:pPr>
            <w:r>
              <w:t>Lublin</w:t>
            </w:r>
          </w:p>
        </w:tc>
        <w:tc>
          <w:tcPr>
            <w:tcW w:w="2388" w:type="dxa"/>
            <w:tcBorders>
              <w:top w:val="nil"/>
              <w:left w:val="nil"/>
              <w:bottom w:val="nil"/>
              <w:right w:val="nil"/>
            </w:tcBorders>
            <w:shd w:val="clear" w:color="auto" w:fill="auto"/>
            <w:vAlign w:val="bottom"/>
          </w:tcPr>
          <w:p w14:paraId="23893C27" w14:textId="77777777" w:rsidR="00692E07" w:rsidRDefault="00692E07" w:rsidP="00D15132">
            <w:pPr>
              <w:spacing w:after="0" w:line="240" w:lineRule="auto"/>
              <w:jc w:val="both"/>
            </w:pPr>
            <w:r>
              <w:t>3,66</w:t>
            </w:r>
          </w:p>
        </w:tc>
      </w:tr>
      <w:tr w:rsidR="00692E07" w14:paraId="59842778" w14:textId="77777777" w:rsidTr="00D15132">
        <w:trPr>
          <w:trHeight w:val="290"/>
        </w:trPr>
        <w:tc>
          <w:tcPr>
            <w:tcW w:w="567" w:type="dxa"/>
            <w:tcBorders>
              <w:top w:val="nil"/>
              <w:left w:val="nil"/>
              <w:bottom w:val="nil"/>
              <w:right w:val="nil"/>
            </w:tcBorders>
            <w:shd w:val="clear" w:color="auto" w:fill="auto"/>
            <w:vAlign w:val="bottom"/>
          </w:tcPr>
          <w:p w14:paraId="2ED7D7DF" w14:textId="77777777" w:rsidR="00692E07" w:rsidRDefault="00692E07" w:rsidP="00D15132">
            <w:pPr>
              <w:spacing w:after="0" w:line="240" w:lineRule="auto"/>
              <w:jc w:val="both"/>
            </w:pPr>
            <w:r>
              <w:t>4</w:t>
            </w:r>
          </w:p>
        </w:tc>
        <w:tc>
          <w:tcPr>
            <w:tcW w:w="1985" w:type="dxa"/>
            <w:tcBorders>
              <w:top w:val="nil"/>
              <w:left w:val="nil"/>
              <w:bottom w:val="nil"/>
              <w:right w:val="nil"/>
            </w:tcBorders>
            <w:shd w:val="clear" w:color="auto" w:fill="auto"/>
            <w:vAlign w:val="bottom"/>
          </w:tcPr>
          <w:p w14:paraId="298155F6" w14:textId="77777777" w:rsidR="00692E07" w:rsidRDefault="00692E07" w:rsidP="00D15132">
            <w:pPr>
              <w:spacing w:after="0" w:line="240" w:lineRule="auto"/>
              <w:jc w:val="both"/>
            </w:pPr>
            <w:r>
              <w:t>Katowice</w:t>
            </w:r>
          </w:p>
        </w:tc>
        <w:tc>
          <w:tcPr>
            <w:tcW w:w="2388" w:type="dxa"/>
            <w:tcBorders>
              <w:top w:val="nil"/>
              <w:left w:val="nil"/>
              <w:bottom w:val="nil"/>
              <w:right w:val="nil"/>
            </w:tcBorders>
            <w:shd w:val="clear" w:color="auto" w:fill="auto"/>
            <w:vAlign w:val="bottom"/>
          </w:tcPr>
          <w:p w14:paraId="61CB90F0" w14:textId="77777777" w:rsidR="00692E07" w:rsidRDefault="00692E07" w:rsidP="00D15132">
            <w:pPr>
              <w:spacing w:after="0" w:line="240" w:lineRule="auto"/>
              <w:jc w:val="both"/>
            </w:pPr>
            <w:r>
              <w:t>3,56</w:t>
            </w:r>
          </w:p>
        </w:tc>
      </w:tr>
      <w:tr w:rsidR="00692E07" w14:paraId="64E5704B" w14:textId="77777777" w:rsidTr="00D15132">
        <w:trPr>
          <w:trHeight w:val="290"/>
        </w:trPr>
        <w:tc>
          <w:tcPr>
            <w:tcW w:w="567" w:type="dxa"/>
            <w:tcBorders>
              <w:top w:val="nil"/>
              <w:left w:val="nil"/>
              <w:bottom w:val="nil"/>
              <w:right w:val="nil"/>
            </w:tcBorders>
            <w:shd w:val="clear" w:color="auto" w:fill="auto"/>
            <w:vAlign w:val="bottom"/>
          </w:tcPr>
          <w:p w14:paraId="3DEB1018" w14:textId="77777777" w:rsidR="00692E07" w:rsidRDefault="00692E07" w:rsidP="00D15132">
            <w:pPr>
              <w:spacing w:after="0" w:line="240" w:lineRule="auto"/>
              <w:jc w:val="both"/>
            </w:pPr>
            <w:r>
              <w:t>4</w:t>
            </w:r>
          </w:p>
        </w:tc>
        <w:tc>
          <w:tcPr>
            <w:tcW w:w="1985" w:type="dxa"/>
            <w:tcBorders>
              <w:top w:val="nil"/>
              <w:left w:val="nil"/>
              <w:bottom w:val="nil"/>
              <w:right w:val="nil"/>
            </w:tcBorders>
            <w:shd w:val="clear" w:color="auto" w:fill="auto"/>
            <w:vAlign w:val="bottom"/>
          </w:tcPr>
          <w:p w14:paraId="7DD538F7" w14:textId="77777777" w:rsidR="00692E07" w:rsidRDefault="00692E07" w:rsidP="00D15132">
            <w:pPr>
              <w:spacing w:after="0" w:line="240" w:lineRule="auto"/>
              <w:jc w:val="both"/>
            </w:pPr>
            <w:r>
              <w:t>Poznań</w:t>
            </w:r>
          </w:p>
        </w:tc>
        <w:tc>
          <w:tcPr>
            <w:tcW w:w="2388" w:type="dxa"/>
            <w:tcBorders>
              <w:top w:val="nil"/>
              <w:left w:val="nil"/>
              <w:bottom w:val="nil"/>
              <w:right w:val="nil"/>
            </w:tcBorders>
            <w:shd w:val="clear" w:color="auto" w:fill="auto"/>
            <w:vAlign w:val="bottom"/>
          </w:tcPr>
          <w:p w14:paraId="77F74A2C" w14:textId="77777777" w:rsidR="00692E07" w:rsidRDefault="00692E07" w:rsidP="00D15132">
            <w:pPr>
              <w:spacing w:after="0" w:line="240" w:lineRule="auto"/>
              <w:jc w:val="both"/>
            </w:pPr>
            <w:r>
              <w:t>3,56</w:t>
            </w:r>
          </w:p>
        </w:tc>
      </w:tr>
      <w:tr w:rsidR="00692E07" w14:paraId="4A33A361" w14:textId="77777777" w:rsidTr="00D15132">
        <w:trPr>
          <w:trHeight w:val="290"/>
        </w:trPr>
        <w:tc>
          <w:tcPr>
            <w:tcW w:w="567" w:type="dxa"/>
            <w:tcBorders>
              <w:top w:val="nil"/>
              <w:left w:val="nil"/>
              <w:bottom w:val="nil"/>
              <w:right w:val="nil"/>
            </w:tcBorders>
            <w:shd w:val="clear" w:color="auto" w:fill="auto"/>
            <w:vAlign w:val="bottom"/>
          </w:tcPr>
          <w:p w14:paraId="5111E641" w14:textId="77777777" w:rsidR="00692E07" w:rsidRDefault="00692E07" w:rsidP="00D15132">
            <w:pPr>
              <w:spacing w:after="0" w:line="240" w:lineRule="auto"/>
              <w:jc w:val="both"/>
            </w:pPr>
            <w:r>
              <w:t>5</w:t>
            </w:r>
          </w:p>
        </w:tc>
        <w:tc>
          <w:tcPr>
            <w:tcW w:w="1985" w:type="dxa"/>
            <w:tcBorders>
              <w:top w:val="nil"/>
              <w:left w:val="nil"/>
              <w:bottom w:val="nil"/>
              <w:right w:val="nil"/>
            </w:tcBorders>
            <w:shd w:val="clear" w:color="auto" w:fill="auto"/>
            <w:vAlign w:val="bottom"/>
          </w:tcPr>
          <w:p w14:paraId="36BB32DE" w14:textId="77777777" w:rsidR="00692E07" w:rsidRDefault="00692E07" w:rsidP="00D15132">
            <w:pPr>
              <w:spacing w:after="0" w:line="240" w:lineRule="auto"/>
              <w:jc w:val="both"/>
            </w:pPr>
            <w:r>
              <w:t>Szczecin</w:t>
            </w:r>
          </w:p>
        </w:tc>
        <w:tc>
          <w:tcPr>
            <w:tcW w:w="2388" w:type="dxa"/>
            <w:tcBorders>
              <w:top w:val="nil"/>
              <w:left w:val="nil"/>
              <w:bottom w:val="nil"/>
              <w:right w:val="nil"/>
            </w:tcBorders>
            <w:shd w:val="clear" w:color="auto" w:fill="auto"/>
            <w:vAlign w:val="bottom"/>
          </w:tcPr>
          <w:p w14:paraId="469B2DAA" w14:textId="77777777" w:rsidR="00692E07" w:rsidRDefault="00692E07" w:rsidP="00D15132">
            <w:pPr>
              <w:spacing w:after="0" w:line="240" w:lineRule="auto"/>
              <w:jc w:val="both"/>
            </w:pPr>
            <w:r>
              <w:t>3,53</w:t>
            </w:r>
          </w:p>
        </w:tc>
      </w:tr>
      <w:tr w:rsidR="00692E07" w14:paraId="074E4C3A" w14:textId="77777777" w:rsidTr="00D15132">
        <w:trPr>
          <w:trHeight w:val="290"/>
        </w:trPr>
        <w:tc>
          <w:tcPr>
            <w:tcW w:w="567" w:type="dxa"/>
            <w:tcBorders>
              <w:top w:val="nil"/>
              <w:left w:val="nil"/>
              <w:bottom w:val="nil"/>
              <w:right w:val="nil"/>
            </w:tcBorders>
            <w:shd w:val="clear" w:color="auto" w:fill="auto"/>
            <w:vAlign w:val="bottom"/>
          </w:tcPr>
          <w:p w14:paraId="3A0FAB29" w14:textId="77777777" w:rsidR="00692E07" w:rsidRDefault="00692E07" w:rsidP="00D15132">
            <w:pPr>
              <w:spacing w:after="0" w:line="240" w:lineRule="auto"/>
              <w:jc w:val="both"/>
            </w:pPr>
            <w:r>
              <w:t>6</w:t>
            </w:r>
          </w:p>
        </w:tc>
        <w:tc>
          <w:tcPr>
            <w:tcW w:w="1985" w:type="dxa"/>
            <w:tcBorders>
              <w:top w:val="nil"/>
              <w:left w:val="nil"/>
              <w:bottom w:val="nil"/>
              <w:right w:val="nil"/>
            </w:tcBorders>
            <w:shd w:val="clear" w:color="auto" w:fill="auto"/>
            <w:vAlign w:val="bottom"/>
          </w:tcPr>
          <w:p w14:paraId="06262574" w14:textId="77777777" w:rsidR="00692E07" w:rsidRDefault="00692E07" w:rsidP="00D15132">
            <w:pPr>
              <w:spacing w:after="0" w:line="240" w:lineRule="auto"/>
              <w:jc w:val="both"/>
            </w:pPr>
            <w:r>
              <w:t>Gdańsk</w:t>
            </w:r>
          </w:p>
        </w:tc>
        <w:tc>
          <w:tcPr>
            <w:tcW w:w="2388" w:type="dxa"/>
            <w:tcBorders>
              <w:top w:val="nil"/>
              <w:left w:val="nil"/>
              <w:bottom w:val="nil"/>
              <w:right w:val="nil"/>
            </w:tcBorders>
            <w:shd w:val="clear" w:color="auto" w:fill="auto"/>
            <w:vAlign w:val="bottom"/>
          </w:tcPr>
          <w:p w14:paraId="007799A7" w14:textId="77777777" w:rsidR="00692E07" w:rsidRDefault="00692E07" w:rsidP="00D15132">
            <w:pPr>
              <w:spacing w:after="0" w:line="240" w:lineRule="auto"/>
              <w:jc w:val="both"/>
            </w:pPr>
            <w:r>
              <w:t>3,51</w:t>
            </w:r>
          </w:p>
        </w:tc>
      </w:tr>
      <w:tr w:rsidR="00692E07" w14:paraId="24F10DCC" w14:textId="77777777" w:rsidTr="00D15132">
        <w:trPr>
          <w:trHeight w:val="290"/>
        </w:trPr>
        <w:tc>
          <w:tcPr>
            <w:tcW w:w="567" w:type="dxa"/>
            <w:tcBorders>
              <w:top w:val="nil"/>
              <w:left w:val="nil"/>
              <w:bottom w:val="nil"/>
              <w:right w:val="nil"/>
            </w:tcBorders>
            <w:shd w:val="clear" w:color="auto" w:fill="auto"/>
            <w:vAlign w:val="bottom"/>
          </w:tcPr>
          <w:p w14:paraId="61CEF528" w14:textId="77777777" w:rsidR="00692E07" w:rsidRDefault="00692E07" w:rsidP="00D15132">
            <w:pPr>
              <w:spacing w:after="0" w:line="240" w:lineRule="auto"/>
              <w:jc w:val="both"/>
            </w:pPr>
            <w:r>
              <w:t>7</w:t>
            </w:r>
          </w:p>
        </w:tc>
        <w:tc>
          <w:tcPr>
            <w:tcW w:w="1985" w:type="dxa"/>
            <w:tcBorders>
              <w:top w:val="nil"/>
              <w:left w:val="nil"/>
              <w:bottom w:val="nil"/>
              <w:right w:val="nil"/>
            </w:tcBorders>
            <w:shd w:val="clear" w:color="auto" w:fill="auto"/>
            <w:vAlign w:val="bottom"/>
          </w:tcPr>
          <w:p w14:paraId="5B9FEBB0" w14:textId="77777777" w:rsidR="00692E07" w:rsidRDefault="00692E07" w:rsidP="00D15132">
            <w:pPr>
              <w:spacing w:after="0" w:line="240" w:lineRule="auto"/>
              <w:jc w:val="both"/>
            </w:pPr>
            <w:r>
              <w:t>Bydgoszcz</w:t>
            </w:r>
          </w:p>
        </w:tc>
        <w:tc>
          <w:tcPr>
            <w:tcW w:w="2388" w:type="dxa"/>
            <w:tcBorders>
              <w:top w:val="nil"/>
              <w:left w:val="nil"/>
              <w:bottom w:val="nil"/>
              <w:right w:val="nil"/>
            </w:tcBorders>
            <w:shd w:val="clear" w:color="auto" w:fill="auto"/>
            <w:vAlign w:val="bottom"/>
          </w:tcPr>
          <w:p w14:paraId="2121B387" w14:textId="77777777" w:rsidR="00692E07" w:rsidRDefault="00692E07" w:rsidP="00D15132">
            <w:pPr>
              <w:spacing w:after="0" w:line="240" w:lineRule="auto"/>
              <w:jc w:val="both"/>
            </w:pPr>
            <w:r>
              <w:t>3,49</w:t>
            </w:r>
          </w:p>
        </w:tc>
      </w:tr>
      <w:tr w:rsidR="00692E07" w14:paraId="0A85D6D7" w14:textId="77777777" w:rsidTr="00D15132">
        <w:trPr>
          <w:trHeight w:val="290"/>
        </w:trPr>
        <w:tc>
          <w:tcPr>
            <w:tcW w:w="567" w:type="dxa"/>
            <w:tcBorders>
              <w:top w:val="nil"/>
              <w:left w:val="nil"/>
              <w:bottom w:val="nil"/>
              <w:right w:val="nil"/>
            </w:tcBorders>
            <w:shd w:val="clear" w:color="auto" w:fill="auto"/>
            <w:vAlign w:val="bottom"/>
          </w:tcPr>
          <w:p w14:paraId="4EAB1716" w14:textId="77777777" w:rsidR="00692E07" w:rsidRDefault="00692E07" w:rsidP="00D15132">
            <w:pPr>
              <w:spacing w:after="0" w:line="240" w:lineRule="auto"/>
              <w:jc w:val="both"/>
            </w:pPr>
            <w:r>
              <w:t>8</w:t>
            </w:r>
          </w:p>
        </w:tc>
        <w:tc>
          <w:tcPr>
            <w:tcW w:w="1985" w:type="dxa"/>
            <w:tcBorders>
              <w:top w:val="nil"/>
              <w:left w:val="nil"/>
              <w:bottom w:val="nil"/>
              <w:right w:val="nil"/>
            </w:tcBorders>
            <w:shd w:val="clear" w:color="auto" w:fill="auto"/>
            <w:vAlign w:val="bottom"/>
          </w:tcPr>
          <w:p w14:paraId="14A187E1" w14:textId="77777777" w:rsidR="00692E07" w:rsidRDefault="00692E07" w:rsidP="00D15132">
            <w:pPr>
              <w:spacing w:after="0" w:line="240" w:lineRule="auto"/>
              <w:jc w:val="both"/>
            </w:pPr>
            <w:r>
              <w:t>Warszawa</w:t>
            </w:r>
          </w:p>
        </w:tc>
        <w:tc>
          <w:tcPr>
            <w:tcW w:w="2388" w:type="dxa"/>
            <w:tcBorders>
              <w:top w:val="nil"/>
              <w:left w:val="nil"/>
              <w:bottom w:val="nil"/>
              <w:right w:val="nil"/>
            </w:tcBorders>
            <w:shd w:val="clear" w:color="auto" w:fill="auto"/>
            <w:vAlign w:val="bottom"/>
          </w:tcPr>
          <w:p w14:paraId="13E670E6" w14:textId="77777777" w:rsidR="00692E07" w:rsidRDefault="00692E07" w:rsidP="00D15132">
            <w:pPr>
              <w:spacing w:after="0" w:line="240" w:lineRule="auto"/>
              <w:jc w:val="both"/>
            </w:pPr>
            <w:r>
              <w:t>3,47</w:t>
            </w:r>
          </w:p>
        </w:tc>
      </w:tr>
      <w:tr w:rsidR="00692E07" w14:paraId="448D3B91" w14:textId="77777777" w:rsidTr="00D15132">
        <w:trPr>
          <w:trHeight w:val="290"/>
        </w:trPr>
        <w:tc>
          <w:tcPr>
            <w:tcW w:w="567" w:type="dxa"/>
            <w:tcBorders>
              <w:top w:val="nil"/>
              <w:left w:val="nil"/>
              <w:bottom w:val="nil"/>
              <w:right w:val="nil"/>
            </w:tcBorders>
            <w:shd w:val="clear" w:color="auto" w:fill="auto"/>
            <w:vAlign w:val="bottom"/>
          </w:tcPr>
          <w:p w14:paraId="4B8F9AD2" w14:textId="77777777" w:rsidR="00692E07" w:rsidRDefault="00692E07" w:rsidP="00D15132">
            <w:pPr>
              <w:spacing w:after="0" w:line="240" w:lineRule="auto"/>
              <w:jc w:val="both"/>
            </w:pPr>
            <w:r>
              <w:t>9</w:t>
            </w:r>
          </w:p>
        </w:tc>
        <w:tc>
          <w:tcPr>
            <w:tcW w:w="1985" w:type="dxa"/>
            <w:tcBorders>
              <w:top w:val="nil"/>
              <w:left w:val="nil"/>
              <w:bottom w:val="nil"/>
              <w:right w:val="nil"/>
            </w:tcBorders>
            <w:shd w:val="clear" w:color="auto" w:fill="auto"/>
            <w:vAlign w:val="bottom"/>
          </w:tcPr>
          <w:p w14:paraId="5F334447" w14:textId="77777777" w:rsidR="00692E07" w:rsidRDefault="00692E07" w:rsidP="00D15132">
            <w:pPr>
              <w:spacing w:after="0" w:line="240" w:lineRule="auto"/>
              <w:jc w:val="both"/>
            </w:pPr>
            <w:r>
              <w:t>Wrocław</w:t>
            </w:r>
          </w:p>
        </w:tc>
        <w:tc>
          <w:tcPr>
            <w:tcW w:w="2388" w:type="dxa"/>
            <w:tcBorders>
              <w:top w:val="nil"/>
              <w:left w:val="nil"/>
              <w:bottom w:val="nil"/>
              <w:right w:val="nil"/>
            </w:tcBorders>
            <w:shd w:val="clear" w:color="auto" w:fill="auto"/>
            <w:vAlign w:val="bottom"/>
          </w:tcPr>
          <w:p w14:paraId="4CCF3767" w14:textId="77777777" w:rsidR="00692E07" w:rsidRDefault="00692E07" w:rsidP="00D15132">
            <w:pPr>
              <w:spacing w:after="0" w:line="240" w:lineRule="auto"/>
              <w:jc w:val="both"/>
            </w:pPr>
            <w:r>
              <w:t>3,38</w:t>
            </w:r>
          </w:p>
        </w:tc>
      </w:tr>
      <w:tr w:rsidR="00692E07" w14:paraId="4680DFA6" w14:textId="77777777" w:rsidTr="00D15132">
        <w:trPr>
          <w:trHeight w:val="290"/>
        </w:trPr>
        <w:tc>
          <w:tcPr>
            <w:tcW w:w="567" w:type="dxa"/>
            <w:tcBorders>
              <w:top w:val="nil"/>
              <w:left w:val="nil"/>
              <w:bottom w:val="nil"/>
              <w:right w:val="nil"/>
            </w:tcBorders>
            <w:shd w:val="clear" w:color="auto" w:fill="auto"/>
            <w:vAlign w:val="bottom"/>
          </w:tcPr>
          <w:p w14:paraId="7932F8A6" w14:textId="77777777" w:rsidR="00692E07" w:rsidRDefault="00692E07" w:rsidP="00D15132">
            <w:pPr>
              <w:spacing w:after="0" w:line="240" w:lineRule="auto"/>
              <w:jc w:val="both"/>
            </w:pPr>
            <w:r>
              <w:lastRenderedPageBreak/>
              <w:t>10</w:t>
            </w:r>
          </w:p>
        </w:tc>
        <w:tc>
          <w:tcPr>
            <w:tcW w:w="1985" w:type="dxa"/>
            <w:tcBorders>
              <w:top w:val="nil"/>
              <w:left w:val="nil"/>
              <w:bottom w:val="nil"/>
              <w:right w:val="nil"/>
            </w:tcBorders>
            <w:shd w:val="clear" w:color="auto" w:fill="auto"/>
            <w:vAlign w:val="bottom"/>
          </w:tcPr>
          <w:p w14:paraId="3379E361" w14:textId="77777777" w:rsidR="00692E07" w:rsidRDefault="00692E07" w:rsidP="00D15132">
            <w:pPr>
              <w:spacing w:after="0" w:line="240" w:lineRule="auto"/>
              <w:jc w:val="both"/>
            </w:pPr>
            <w:r>
              <w:t>Kraków</w:t>
            </w:r>
          </w:p>
        </w:tc>
        <w:tc>
          <w:tcPr>
            <w:tcW w:w="2388" w:type="dxa"/>
            <w:tcBorders>
              <w:top w:val="nil"/>
              <w:left w:val="nil"/>
              <w:bottom w:val="nil"/>
              <w:right w:val="nil"/>
            </w:tcBorders>
            <w:shd w:val="clear" w:color="auto" w:fill="auto"/>
            <w:vAlign w:val="bottom"/>
          </w:tcPr>
          <w:p w14:paraId="6614C971" w14:textId="77777777" w:rsidR="00692E07" w:rsidRDefault="00692E07" w:rsidP="00D15132">
            <w:pPr>
              <w:spacing w:after="0" w:line="240" w:lineRule="auto"/>
              <w:jc w:val="both"/>
            </w:pPr>
            <w:r>
              <w:t>3,32</w:t>
            </w:r>
          </w:p>
        </w:tc>
      </w:tr>
      <w:tr w:rsidR="00692E07" w14:paraId="33BA845E" w14:textId="77777777" w:rsidTr="00D15132">
        <w:trPr>
          <w:trHeight w:val="290"/>
        </w:trPr>
        <w:tc>
          <w:tcPr>
            <w:tcW w:w="567" w:type="dxa"/>
            <w:tcBorders>
              <w:top w:val="nil"/>
              <w:left w:val="nil"/>
              <w:bottom w:val="nil"/>
              <w:right w:val="nil"/>
            </w:tcBorders>
            <w:shd w:val="clear" w:color="auto" w:fill="auto"/>
            <w:vAlign w:val="bottom"/>
          </w:tcPr>
          <w:p w14:paraId="5910B6D9" w14:textId="77777777" w:rsidR="00692E07" w:rsidRDefault="00692E07" w:rsidP="00D15132">
            <w:pPr>
              <w:spacing w:after="0" w:line="240" w:lineRule="auto"/>
              <w:jc w:val="both"/>
            </w:pPr>
            <w:r>
              <w:t>10</w:t>
            </w:r>
          </w:p>
        </w:tc>
        <w:tc>
          <w:tcPr>
            <w:tcW w:w="1985" w:type="dxa"/>
            <w:tcBorders>
              <w:top w:val="nil"/>
              <w:left w:val="nil"/>
              <w:bottom w:val="nil"/>
              <w:right w:val="nil"/>
            </w:tcBorders>
            <w:shd w:val="clear" w:color="auto" w:fill="auto"/>
            <w:vAlign w:val="bottom"/>
          </w:tcPr>
          <w:p w14:paraId="714390F9" w14:textId="77777777" w:rsidR="00692E07" w:rsidRDefault="00692E07" w:rsidP="00D15132">
            <w:pPr>
              <w:spacing w:after="0" w:line="240" w:lineRule="auto"/>
              <w:jc w:val="both"/>
            </w:pPr>
            <w:r>
              <w:t>Łódź</w:t>
            </w:r>
          </w:p>
        </w:tc>
        <w:tc>
          <w:tcPr>
            <w:tcW w:w="2388" w:type="dxa"/>
            <w:tcBorders>
              <w:top w:val="nil"/>
              <w:left w:val="nil"/>
              <w:bottom w:val="nil"/>
              <w:right w:val="nil"/>
            </w:tcBorders>
            <w:shd w:val="clear" w:color="auto" w:fill="auto"/>
            <w:vAlign w:val="bottom"/>
          </w:tcPr>
          <w:p w14:paraId="481DA11C" w14:textId="77777777" w:rsidR="00692E07" w:rsidRDefault="00692E07" w:rsidP="00D15132">
            <w:pPr>
              <w:spacing w:after="0" w:line="240" w:lineRule="auto"/>
              <w:jc w:val="both"/>
            </w:pPr>
            <w:r>
              <w:t>3,32</w:t>
            </w:r>
          </w:p>
        </w:tc>
      </w:tr>
    </w:tbl>
    <w:p w14:paraId="078A5AA2" w14:textId="77777777" w:rsidR="00692E07" w:rsidRDefault="00692E07">
      <w:pPr>
        <w:spacing w:line="240" w:lineRule="auto"/>
        <w:jc w:val="both"/>
        <w:rPr>
          <w:color w:val="222222"/>
          <w:highlight w:val="white"/>
        </w:rPr>
      </w:pPr>
    </w:p>
    <w:p w14:paraId="1F655521" w14:textId="77777777" w:rsidR="007D14CA" w:rsidRDefault="005248A7">
      <w:pPr>
        <w:spacing w:line="240" w:lineRule="auto"/>
        <w:jc w:val="both"/>
        <w:rPr>
          <w:b/>
          <w:color w:val="222222"/>
          <w:sz w:val="28"/>
          <w:szCs w:val="28"/>
          <w:highlight w:val="white"/>
        </w:rPr>
      </w:pPr>
      <w:bookmarkStart w:id="1" w:name="_heading=h.2et92p0" w:colFirst="0" w:colLast="0"/>
      <w:bookmarkEnd w:id="1"/>
      <w:r>
        <w:rPr>
          <w:noProof/>
        </w:rPr>
        <w:drawing>
          <wp:inline distT="0" distB="0" distL="0" distR="0" wp14:anchorId="1F655560" wp14:editId="1F655561">
            <wp:extent cx="5733415" cy="573341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3415" cy="5733415"/>
                    </a:xfrm>
                    <a:prstGeom prst="rect">
                      <a:avLst/>
                    </a:prstGeom>
                    <a:ln/>
                  </pic:spPr>
                </pic:pic>
              </a:graphicData>
            </a:graphic>
          </wp:inline>
        </w:drawing>
      </w:r>
    </w:p>
    <w:p w14:paraId="71B7197F" w14:textId="44BCD4F8" w:rsidR="00692E07" w:rsidRDefault="00692E07" w:rsidP="00692E07">
      <w:pPr>
        <w:spacing w:line="240" w:lineRule="auto"/>
        <w:jc w:val="both"/>
        <w:rPr>
          <w:b/>
          <w:color w:val="222222"/>
          <w:sz w:val="28"/>
          <w:szCs w:val="28"/>
          <w:highlight w:val="white"/>
        </w:rPr>
      </w:pPr>
      <w:r>
        <w:rPr>
          <w:b/>
          <w:color w:val="222222"/>
          <w:sz w:val="28"/>
          <w:szCs w:val="28"/>
          <w:highlight w:val="white"/>
        </w:rPr>
        <w:t xml:space="preserve">Największy problem – brak miejsc parkingowych </w:t>
      </w:r>
    </w:p>
    <w:p w14:paraId="185A16D3" w14:textId="77777777" w:rsidR="00692E07" w:rsidRDefault="00692E07" w:rsidP="00692E07">
      <w:pPr>
        <w:spacing w:line="240" w:lineRule="auto"/>
        <w:jc w:val="both"/>
        <w:rPr>
          <w:color w:val="222222"/>
          <w:highlight w:val="white"/>
        </w:rPr>
      </w:pPr>
      <w:r>
        <w:rPr>
          <w:color w:val="222222"/>
          <w:highlight w:val="white"/>
        </w:rPr>
        <w:t xml:space="preserve">Na potrzeby Rankingu Dzielnic Otodom poprosiliśmy  ponad 1500 mieszkańców Białegostoku o wskazanie najlepiej skomunikowanej dzielnicy w mieście. Interesowała nas zarówno dostępność transportu miejskiego, jak i korki w danej okolicy, liczba miejsc parkingowych i łatwość dojazdu w dowolne miejsce. </w:t>
      </w:r>
    </w:p>
    <w:p w14:paraId="532A4F87" w14:textId="77777777" w:rsidR="00692E07" w:rsidRDefault="00692E07" w:rsidP="00692E07">
      <w:pPr>
        <w:spacing w:line="240" w:lineRule="auto"/>
        <w:jc w:val="both"/>
        <w:rPr>
          <w:color w:val="222222"/>
          <w:highlight w:val="white"/>
        </w:rPr>
      </w:pPr>
      <w:bookmarkStart w:id="2" w:name="_heading=h.tyjcwt" w:colFirst="0" w:colLast="0"/>
      <w:bookmarkEnd w:id="2"/>
      <w:r>
        <w:rPr>
          <w:color w:val="222222"/>
          <w:highlight w:val="white"/>
        </w:rPr>
        <w:t xml:space="preserve">W zgodnej opinii respondentów przemieszczanie się po Białymstoku jest wygodne i nie nastręcza problemów. Z jednym wyjątkiem. Sporym wyzwaniem w niemal każdej części miasta bywa znalezienie miejsca do parkowania. </w:t>
      </w:r>
    </w:p>
    <w:p w14:paraId="1939D4B3" w14:textId="77777777" w:rsidR="00692E07" w:rsidRDefault="00692E07" w:rsidP="00692E07">
      <w:pPr>
        <w:spacing w:line="240" w:lineRule="auto"/>
        <w:jc w:val="both"/>
        <w:rPr>
          <w:b/>
          <w:color w:val="222222"/>
          <w:sz w:val="28"/>
          <w:szCs w:val="28"/>
          <w:highlight w:val="white"/>
        </w:rPr>
      </w:pPr>
      <w:r>
        <w:rPr>
          <w:b/>
          <w:color w:val="222222"/>
          <w:sz w:val="28"/>
          <w:szCs w:val="28"/>
          <w:highlight w:val="white"/>
        </w:rPr>
        <w:t xml:space="preserve">Trzy dzielnice bliskie ideału </w:t>
      </w:r>
    </w:p>
    <w:p w14:paraId="03B645B1" w14:textId="22672C0F" w:rsidR="00692E07" w:rsidRPr="00692E07" w:rsidRDefault="00692E07" w:rsidP="00692E07">
      <w:pPr>
        <w:spacing w:line="240" w:lineRule="auto"/>
        <w:jc w:val="both"/>
        <w:rPr>
          <w:color w:val="222222"/>
          <w:highlight w:val="white"/>
        </w:rPr>
      </w:pPr>
      <w:r>
        <w:rPr>
          <w:color w:val="222222"/>
          <w:highlight w:val="white"/>
        </w:rPr>
        <w:t xml:space="preserve">Mimo problemów z parkowaniem trzem dzielnicom Białegostoku udało się przekroczyć granicę czterech punktów w pięciopunktowej skali. Niekwestionowanym liderem drugiej edycji </w:t>
      </w:r>
      <w:r>
        <w:rPr>
          <w:color w:val="222222"/>
          <w:highlight w:val="white"/>
        </w:rPr>
        <w:lastRenderedPageBreak/>
        <w:t xml:space="preserve">rankingu dzielnic zostały Dojlidy z notą na poziomie 4,32 punktu. Tuż za nimi uplasował się Słoneczny Stok oceniony na 4,17 punktu. Trzecie miejsce zajął Antoniuk, który zdobył 4,06 punktu. </w:t>
      </w:r>
    </w:p>
    <w:p w14:paraId="029C484F" w14:textId="77777777" w:rsidR="00692E07" w:rsidRDefault="00692E07" w:rsidP="00692E07">
      <w:pPr>
        <w:spacing w:line="240" w:lineRule="auto"/>
        <w:jc w:val="both"/>
        <w:rPr>
          <w:color w:val="222222"/>
          <w:highlight w:val="white"/>
        </w:rPr>
      </w:pPr>
      <w:bookmarkStart w:id="3" w:name="_heading=h.3dy6vkm" w:colFirst="0" w:colLast="0"/>
      <w:bookmarkEnd w:id="3"/>
      <w:r>
        <w:rPr>
          <w:i/>
          <w:color w:val="222222"/>
          <w:highlight w:val="white"/>
        </w:rPr>
        <w:t>Antoniuk był zawsze nieźle skomunikowany, ale rozbudowa ulicy Wierzbowej i długo wyczekiwane oddanie do użytku ul. ks. Sopoćki sprawiły, że mieszkańcy tej dzielnicy do centrum jadą dosłownie kilka minut. To może tłumaczyć znaczną poprawę oceny dla tej dzielnicy. Również w przypadku Dojlid na wysokie oceny wpływ miały inwestycje drogowe z ostatnich lat. Choćby przebudowa ul. Ciołkowskiego, budowa ul. Dywizjonu 303, przedłużenie ulicy Wiewiórczej, a to tylko niektóre, z całej długiej listy. Do tego tylko w ostatnim roku miasto wybudowało lub przebudowało tu 10 km ścieżek rowerowych</w:t>
      </w:r>
      <w:r>
        <w:rPr>
          <w:color w:val="222222"/>
          <w:highlight w:val="white"/>
        </w:rPr>
        <w:t xml:space="preserve"> – komentuje Piotr Kurzawa, Express House Nieruchomości.</w:t>
      </w:r>
    </w:p>
    <w:p w14:paraId="1F655557" w14:textId="77777777" w:rsidR="007D14CA" w:rsidRDefault="005248A7">
      <w:pPr>
        <w:pStyle w:val="Nagwek2"/>
        <w:spacing w:line="276" w:lineRule="auto"/>
        <w:jc w:val="both"/>
        <w:rPr>
          <w:b/>
          <w:color w:val="222222"/>
          <w:sz w:val="28"/>
          <w:szCs w:val="28"/>
          <w:highlight w:val="white"/>
        </w:rPr>
      </w:pPr>
      <w:bookmarkStart w:id="4" w:name="_heading=h.2s8eyo1" w:colFirst="0" w:colLast="0"/>
      <w:bookmarkEnd w:id="4"/>
      <w:r>
        <w:rPr>
          <w:b/>
          <w:color w:val="222222"/>
          <w:sz w:val="28"/>
          <w:szCs w:val="28"/>
          <w:highlight w:val="white"/>
        </w:rPr>
        <w:t>Ranking Dzielnic Otodom 2020</w:t>
      </w:r>
    </w:p>
    <w:p w14:paraId="1F655558" w14:textId="77777777" w:rsidR="007D14CA" w:rsidRDefault="005248A7">
      <w:pPr>
        <w:spacing w:line="240" w:lineRule="auto"/>
        <w:jc w:val="both"/>
        <w:rPr>
          <w:color w:val="222222"/>
          <w:highlight w:val="white"/>
        </w:rPr>
      </w:pPr>
      <w:r>
        <w:rPr>
          <w:color w:val="222222"/>
          <w:highlight w:val="white"/>
        </w:rPr>
        <w:t>To już druga edycja Rankingu Dzielnic Otodom, poprzednia opublikowana została trzy lata temu. Tegoroczne zestawienie powstało na podstawie badania przeprowadzonego na zlecenie Otodom przez Agencję Badawczą IQS. Ponad 120 tys. mieszkańców 12 miast Polski: B</w:t>
      </w:r>
      <w:r>
        <w:rPr>
          <w:color w:val="222222"/>
          <w:highlight w:val="white"/>
        </w:rPr>
        <w:t>iałegostoku, Bydgoszczy, Gdyni, Gdańska, Katowic, Krakowa, Lublina, Łodzi, Poznania, Szczecina, Warszawy i Wrocławia, oceniało różne aspekty życia w swojej okolicy. Badanie ilościowe realizowane było przy użyciu standaryzowanego kwestionariusza za pomocą m</w:t>
      </w:r>
      <w:r>
        <w:rPr>
          <w:color w:val="222222"/>
          <w:highlight w:val="white"/>
        </w:rPr>
        <w:t>etodologii CAWI (ang. Computer-Assisted Web Interview) – wspomagany komputerowo wywiad przy pomocy strony internetowej. Tegoroczna edycja rankingu oprócz znanych już kategorii (bezpieczeństwo, relacje sąsiedzkie, ekologia, zadbana okolica, komunikacja, dos</w:t>
      </w:r>
      <w:r>
        <w:rPr>
          <w:color w:val="222222"/>
          <w:highlight w:val="white"/>
        </w:rPr>
        <w:t>tępność atrakcji, dostępność sklepów, koszty życia, infrastruktura dla dzieci) uwzględnia także nowe: infrastruktura dla zwierząt, dzielnice dla aktywnych sportowo, imprezowiczów, dostępność służby zdrowia.</w:t>
      </w:r>
    </w:p>
    <w:p w14:paraId="1F655559" w14:textId="77777777" w:rsidR="007D14CA" w:rsidRDefault="005248A7">
      <w:pPr>
        <w:spacing w:line="276" w:lineRule="auto"/>
        <w:jc w:val="both"/>
        <w:rPr>
          <w:color w:val="222222"/>
          <w:highlight w:val="white"/>
        </w:rPr>
      </w:pPr>
      <w:r>
        <w:rPr>
          <w:color w:val="222222"/>
          <w:highlight w:val="white"/>
        </w:rPr>
        <w:t>Już w kolejnym tygodniu przedstawimy następne kat</w:t>
      </w:r>
      <w:r>
        <w:rPr>
          <w:color w:val="222222"/>
          <w:highlight w:val="white"/>
        </w:rPr>
        <w:t>egorie Rankingu Dzielnic Otodom.</w:t>
      </w:r>
    </w:p>
    <w:p w14:paraId="1F65555A" w14:textId="77777777" w:rsidR="007D14CA" w:rsidRDefault="005248A7">
      <w:pPr>
        <w:spacing w:line="276" w:lineRule="auto"/>
        <w:jc w:val="both"/>
        <w:rPr>
          <w:b/>
          <w:color w:val="222222"/>
          <w:sz w:val="28"/>
          <w:szCs w:val="28"/>
          <w:highlight w:val="white"/>
        </w:rPr>
      </w:pPr>
      <w:r>
        <w:rPr>
          <w:b/>
          <w:color w:val="222222"/>
          <w:sz w:val="28"/>
          <w:szCs w:val="28"/>
          <w:highlight w:val="white"/>
        </w:rPr>
        <w:t>Więcej o OTODOM</w:t>
      </w:r>
    </w:p>
    <w:p w14:paraId="1F65555B" w14:textId="77777777" w:rsidR="007D14CA" w:rsidRDefault="005248A7">
      <w:pPr>
        <w:spacing w:line="240" w:lineRule="auto"/>
        <w:jc w:val="both"/>
        <w:rPr>
          <w:color w:val="222222"/>
          <w:highlight w:val="white"/>
        </w:rPr>
      </w:pPr>
      <w:r>
        <w:rPr>
          <w:color w:val="222222"/>
          <w:highlight w:val="white"/>
        </w:rPr>
        <w:t xml:space="preserve">Otodom to najpopularniejszy serwis nieruchomości w Polsce. Umożliwia swoim użytkownikom wyszukanie, przeglądanie i zamieszczanie ogłoszeń sprzedaży i wynajmu nieruchomości: </w:t>
      </w:r>
      <w:r>
        <w:rPr>
          <w:color w:val="222222"/>
          <w:highlight w:val="white"/>
        </w:rPr>
        <w:br/>
        <w:t xml:space="preserve">w szczególności mieszkań, domów, </w:t>
      </w:r>
      <w:r>
        <w:rPr>
          <w:color w:val="222222"/>
          <w:highlight w:val="white"/>
        </w:rPr>
        <w:t xml:space="preserve">inwestycji deweloperskich, biur czy lokali. W serwisie znajdują się zarówno oferty z rynku pierwotnego jak i wtórnego. W styczniu  2020  serwis odwiedziło ponad </w:t>
      </w:r>
      <w:r>
        <w:rPr>
          <w:color w:val="222222"/>
        </w:rPr>
        <w:t xml:space="preserve">3,9 </w:t>
      </w:r>
      <w:r>
        <w:rPr>
          <w:color w:val="222222"/>
          <w:highlight w:val="white"/>
        </w:rPr>
        <w:t xml:space="preserve">mln realnych użytkowników. Daje to Otodom pierwsze miejsce wśród serwisów specjalizujących </w:t>
      </w:r>
      <w:r>
        <w:rPr>
          <w:color w:val="222222"/>
          <w:highlight w:val="white"/>
        </w:rPr>
        <w:t>się w ogłoszeniach nieruchomości. Dane te potwierdza niezależny audyt Gemius/PBI. </w:t>
      </w:r>
    </w:p>
    <w:p w14:paraId="1F65555C" w14:textId="77777777" w:rsidR="007D14CA" w:rsidRDefault="005248A7">
      <w:pPr>
        <w:spacing w:line="276" w:lineRule="auto"/>
        <w:jc w:val="both"/>
        <w:rPr>
          <w:color w:val="222222"/>
          <w:highlight w:val="white"/>
        </w:rPr>
      </w:pPr>
      <w:r>
        <w:rPr>
          <w:b/>
          <w:color w:val="222222"/>
          <w:highlight w:val="white"/>
        </w:rPr>
        <w:t>Biuro prasowe Otodom:</w:t>
      </w:r>
      <w:r>
        <w:rPr>
          <w:color w:val="222222"/>
          <w:highlight w:val="white"/>
        </w:rPr>
        <w:t xml:space="preserve"> </w:t>
      </w:r>
    </w:p>
    <w:p w14:paraId="1F65555D" w14:textId="77777777" w:rsidR="007D14CA" w:rsidRDefault="005248A7">
      <w:pPr>
        <w:spacing w:line="276" w:lineRule="auto"/>
        <w:jc w:val="both"/>
        <w:rPr>
          <w:b/>
          <w:color w:val="222222"/>
          <w:highlight w:val="white"/>
        </w:rPr>
      </w:pPr>
      <w:r>
        <w:rPr>
          <w:color w:val="222222"/>
          <w:highlight w:val="white"/>
        </w:rPr>
        <w:t xml:space="preserve">Strefa prasowa: </w:t>
      </w:r>
      <w:hyperlink r:id="rId8">
        <w:r>
          <w:rPr>
            <w:b/>
            <w:color w:val="1155CC"/>
            <w:highlight w:val="white"/>
            <w:u w:val="single"/>
          </w:rPr>
          <w:t xml:space="preserve">media.otodom.pl </w:t>
        </w:r>
      </w:hyperlink>
    </w:p>
    <w:p w14:paraId="1F65555E" w14:textId="77777777" w:rsidR="007D14CA" w:rsidRDefault="005248A7">
      <w:pPr>
        <w:spacing w:line="276" w:lineRule="auto"/>
        <w:jc w:val="both"/>
        <w:rPr>
          <w:color w:val="222222"/>
          <w:highlight w:val="white"/>
        </w:rPr>
      </w:pPr>
      <w:r>
        <w:rPr>
          <w:b/>
          <w:color w:val="222222"/>
          <w:highlight w:val="white"/>
        </w:rPr>
        <w:t>Więcej informacji:</w:t>
      </w:r>
      <w:r>
        <w:rPr>
          <w:color w:val="222222"/>
          <w:highlight w:val="white"/>
        </w:rPr>
        <w:t xml:space="preserve"> </w:t>
      </w:r>
    </w:p>
    <w:p w14:paraId="1F65555F" w14:textId="77777777" w:rsidR="007D14CA" w:rsidRDefault="005248A7">
      <w:pPr>
        <w:spacing w:line="276" w:lineRule="auto"/>
        <w:jc w:val="both"/>
        <w:rPr>
          <w:color w:val="222222"/>
          <w:highlight w:val="white"/>
        </w:rPr>
      </w:pPr>
      <w:r>
        <w:rPr>
          <w:color w:val="222222"/>
          <w:highlight w:val="white"/>
        </w:rPr>
        <w:t xml:space="preserve">Jarosław Krawczyk, Otodom, e-mail: </w:t>
      </w:r>
      <w:hyperlink r:id="rId9">
        <w:r>
          <w:rPr>
            <w:color w:val="0000FF"/>
            <w:highlight w:val="white"/>
            <w:u w:val="single"/>
          </w:rPr>
          <w:t>jaroslaw.krawczyk@otodom.pl</w:t>
        </w:r>
      </w:hyperlink>
      <w:r>
        <w:rPr>
          <w:color w:val="222222"/>
          <w:highlight w:val="white"/>
        </w:rPr>
        <w:t xml:space="preserve">, tel. </w:t>
      </w:r>
      <w:hyperlink r:id="rId10">
        <w:r>
          <w:rPr>
            <w:color w:val="222222"/>
            <w:highlight w:val="white"/>
          </w:rPr>
          <w:t>512 068 949</w:t>
        </w:r>
      </w:hyperlink>
    </w:p>
    <w:sectPr w:rsidR="007D14CA">
      <w:headerReference w:type="default" r:id="rId11"/>
      <w:pgSz w:w="11909" w:h="16834"/>
      <w:pgMar w:top="1440" w:right="1440" w:bottom="109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BEA22" w14:textId="77777777" w:rsidR="005248A7" w:rsidRDefault="005248A7">
      <w:pPr>
        <w:spacing w:after="0" w:line="240" w:lineRule="auto"/>
      </w:pPr>
      <w:r>
        <w:separator/>
      </w:r>
    </w:p>
  </w:endnote>
  <w:endnote w:type="continuationSeparator" w:id="0">
    <w:p w14:paraId="2C337EAD" w14:textId="77777777" w:rsidR="005248A7" w:rsidRDefault="0052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357D" w14:textId="77777777" w:rsidR="005248A7" w:rsidRDefault="005248A7">
      <w:pPr>
        <w:spacing w:after="0" w:line="240" w:lineRule="auto"/>
      </w:pPr>
      <w:r>
        <w:separator/>
      </w:r>
    </w:p>
  </w:footnote>
  <w:footnote w:type="continuationSeparator" w:id="0">
    <w:p w14:paraId="1876145C" w14:textId="77777777" w:rsidR="005248A7" w:rsidRDefault="0052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5563" w14:textId="77777777" w:rsidR="007D14CA" w:rsidRDefault="005248A7">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1F655564" wp14:editId="1F655565">
          <wp:extent cx="1867382" cy="570728"/>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7382" cy="57072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CA"/>
    <w:rsid w:val="000A10EE"/>
    <w:rsid w:val="000E08DD"/>
    <w:rsid w:val="00156549"/>
    <w:rsid w:val="005248A7"/>
    <w:rsid w:val="00692E07"/>
    <w:rsid w:val="007D1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5511"/>
  <w15:docId w15:val="{F1CB52D2-2B71-4CE7-BDCA-B590CB89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CBE"/>
  </w:style>
  <w:style w:type="paragraph" w:styleId="Nagwek1">
    <w:name w:val="heading 1"/>
    <w:basedOn w:val="Normalny"/>
    <w:next w:val="Normalny"/>
    <w:link w:val="Nagwek1Znak"/>
    <w:uiPriority w:val="9"/>
    <w:qFormat/>
    <w:rsid w:val="00B10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7CBE"/>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97CB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097CBE"/>
    <w:rPr>
      <w:rFonts w:ascii="Arial" w:eastAsia="Arial" w:hAnsi="Arial" w:cs="Arial"/>
      <w:sz w:val="32"/>
      <w:szCs w:val="32"/>
      <w:lang w:val="pl" w:eastAsia="pl-PL"/>
    </w:rPr>
  </w:style>
  <w:style w:type="character" w:customStyle="1" w:styleId="TytuZnak">
    <w:name w:val="Tytuł Znak"/>
    <w:basedOn w:val="Domylnaczcionkaakapitu"/>
    <w:link w:val="Tytu"/>
    <w:uiPriority w:val="10"/>
    <w:rsid w:val="00097CBE"/>
    <w:rPr>
      <w:rFonts w:ascii="Arial" w:eastAsia="Arial" w:hAnsi="Arial" w:cs="Arial"/>
      <w:sz w:val="52"/>
      <w:szCs w:val="52"/>
      <w:lang w:val="pl" w:eastAsia="pl-PL"/>
    </w:rPr>
  </w:style>
  <w:style w:type="character" w:styleId="Odwoaniedokomentarza">
    <w:name w:val="annotation reference"/>
    <w:basedOn w:val="Domylnaczcionkaakapitu"/>
    <w:uiPriority w:val="99"/>
    <w:semiHidden/>
    <w:unhideWhenUsed/>
    <w:rsid w:val="00037291"/>
    <w:rPr>
      <w:sz w:val="16"/>
      <w:szCs w:val="16"/>
    </w:rPr>
  </w:style>
  <w:style w:type="paragraph" w:styleId="Tekstkomentarza">
    <w:name w:val="annotation text"/>
    <w:basedOn w:val="Normalny"/>
    <w:link w:val="TekstkomentarzaZnak"/>
    <w:uiPriority w:val="99"/>
    <w:semiHidden/>
    <w:unhideWhenUsed/>
    <w:rsid w:val="000372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291"/>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037291"/>
    <w:rPr>
      <w:b/>
      <w:bCs/>
    </w:rPr>
  </w:style>
  <w:style w:type="character" w:customStyle="1" w:styleId="TematkomentarzaZnak">
    <w:name w:val="Temat komentarza Znak"/>
    <w:basedOn w:val="TekstkomentarzaZnak"/>
    <w:link w:val="Tematkomentarza"/>
    <w:uiPriority w:val="99"/>
    <w:semiHidden/>
    <w:rsid w:val="00037291"/>
    <w:rPr>
      <w:rFonts w:ascii="Arial" w:eastAsia="Arial" w:hAnsi="Arial" w:cs="Arial"/>
      <w:b/>
      <w:bCs/>
      <w:sz w:val="20"/>
      <w:szCs w:val="20"/>
      <w:lang w:val="pl" w:eastAsia="pl-PL"/>
    </w:rPr>
  </w:style>
  <w:style w:type="paragraph" w:styleId="Tekstdymka">
    <w:name w:val="Balloon Text"/>
    <w:basedOn w:val="Normalny"/>
    <w:link w:val="TekstdymkaZnak"/>
    <w:uiPriority w:val="99"/>
    <w:semiHidden/>
    <w:unhideWhenUsed/>
    <w:rsid w:val="000372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291"/>
    <w:rPr>
      <w:rFonts w:ascii="Segoe UI" w:eastAsia="Arial" w:hAnsi="Segoe UI" w:cs="Segoe UI"/>
      <w:sz w:val="18"/>
      <w:szCs w:val="18"/>
      <w:lang w:val="pl" w:eastAsia="pl-PL"/>
    </w:rPr>
  </w:style>
  <w:style w:type="paragraph" w:styleId="Nagwek">
    <w:name w:val="header"/>
    <w:basedOn w:val="Normalny"/>
    <w:link w:val="NagwekZnak"/>
    <w:uiPriority w:val="99"/>
    <w:unhideWhenUsed/>
    <w:rsid w:val="00B102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2DB"/>
    <w:rPr>
      <w:rFonts w:ascii="Arial" w:eastAsia="Arial" w:hAnsi="Arial" w:cs="Arial"/>
      <w:lang w:val="pl" w:eastAsia="pl-PL"/>
    </w:rPr>
  </w:style>
  <w:style w:type="paragraph" w:styleId="Stopka">
    <w:name w:val="footer"/>
    <w:basedOn w:val="Normalny"/>
    <w:link w:val="StopkaZnak"/>
    <w:uiPriority w:val="99"/>
    <w:unhideWhenUsed/>
    <w:rsid w:val="00B10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2DB"/>
    <w:rPr>
      <w:rFonts w:ascii="Arial" w:eastAsia="Arial" w:hAnsi="Arial" w:cs="Arial"/>
      <w:lang w:val="pl" w:eastAsia="pl-PL"/>
    </w:rPr>
  </w:style>
  <w:style w:type="character" w:customStyle="1" w:styleId="Nagwek1Znak">
    <w:name w:val="Nagłówek 1 Znak"/>
    <w:basedOn w:val="Domylnaczcionkaakapitu"/>
    <w:link w:val="Nagwek1"/>
    <w:uiPriority w:val="9"/>
    <w:rsid w:val="00B102DB"/>
    <w:rPr>
      <w:rFonts w:asciiTheme="majorHAnsi" w:eastAsiaTheme="majorEastAsia" w:hAnsiTheme="majorHAnsi" w:cstheme="majorBidi"/>
      <w:color w:val="2F5496" w:themeColor="accent1" w:themeShade="BF"/>
      <w:sz w:val="32"/>
      <w:szCs w:val="32"/>
      <w:lang w:val="pl" w:eastAsia="pl-PL"/>
    </w:rPr>
  </w:style>
  <w:style w:type="paragraph" w:styleId="Poprawka">
    <w:name w:val="Revision"/>
    <w:hidden/>
    <w:uiPriority w:val="99"/>
    <w:semiHidden/>
    <w:rsid w:val="00C366A9"/>
    <w:pPr>
      <w:spacing w:after="0" w:line="240" w:lineRule="auto"/>
    </w:pPr>
  </w:style>
  <w:style w:type="character" w:styleId="Hipercze">
    <w:name w:val="Hyperlink"/>
    <w:basedOn w:val="Domylnaczcionkaakapitu"/>
    <w:uiPriority w:val="99"/>
    <w:semiHidden/>
    <w:unhideWhenUsed/>
    <w:rsid w:val="00CF5947"/>
    <w:rPr>
      <w:color w:val="0000FF"/>
      <w:u w:val="single"/>
    </w:rPr>
  </w:style>
  <w:style w:type="character" w:styleId="Pogrubienie">
    <w:name w:val="Strong"/>
    <w:basedOn w:val="Domylnaczcionkaakapitu"/>
    <w:uiPriority w:val="22"/>
    <w:qFormat/>
    <w:rsid w:val="002A1643"/>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38672C"/>
    <w:pPr>
      <w:ind w:left="720"/>
      <w:contextualSpacing/>
    </w:pPr>
  </w:style>
  <w:style w:type="paragraph" w:styleId="NormalnyWeb">
    <w:name w:val="Normal (Web)"/>
    <w:basedOn w:val="Normalny"/>
    <w:uiPriority w:val="99"/>
    <w:semiHidden/>
    <w:unhideWhenUsed/>
    <w:rsid w:val="006129BA"/>
    <w:pPr>
      <w:spacing w:before="100" w:beforeAutospacing="1" w:after="100" w:afterAutospacing="1" w:line="240" w:lineRule="auto"/>
    </w:pPr>
    <w:rPr>
      <w:rFonts w:ascii="Times New Roman" w:eastAsia="Times New Roman" w:hAnsi="Times New Roman" w:cs="Times New Roman"/>
      <w:sz w:val="24"/>
      <w:szCs w:val="24"/>
      <w:lang w:val="pl-PL"/>
    </w:rPr>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dia.otod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jaroslaw.krawczyk@oto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7dKPnQDjdw/YPiWruW/ODWgNA==">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4572</Characters>
  <Application>Microsoft Office Word</Application>
  <DocSecurity>0</DocSecurity>
  <Lines>38</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Godlewska</dc:creator>
  <cp:lastModifiedBy>Marta Godlewska</cp:lastModifiedBy>
  <cp:revision>5</cp:revision>
  <dcterms:created xsi:type="dcterms:W3CDTF">2020-07-03T13:36:00Z</dcterms:created>
  <dcterms:modified xsi:type="dcterms:W3CDTF">2020-07-06T12:48:00Z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0x0101005843F17FB4ECE2438104C7C76FC3149C</vt:lpwstr>
  </property>
</Properties>
</file>